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275"/>
        <w:gridCol w:w="1105"/>
        <w:gridCol w:w="1138"/>
        <w:gridCol w:w="1414"/>
        <w:gridCol w:w="1324"/>
        <w:gridCol w:w="1338"/>
      </w:tblGrid>
      <w:tr w:rsidR="00176C9F" w:rsidTr="00BE7191">
        <w:trPr>
          <w:trHeight w:val="85"/>
          <w:jc w:val="center"/>
        </w:trPr>
        <w:tc>
          <w:tcPr>
            <w:tcW w:w="4531" w:type="dxa"/>
            <w:gridSpan w:val="3"/>
            <w:shd w:val="clear" w:color="auto" w:fill="8064A2"/>
          </w:tcPr>
          <w:p w:rsidR="00176C9F" w:rsidRPr="00722E4C" w:rsidRDefault="00176C9F" w:rsidP="00176C9F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Product</w:t>
            </w:r>
          </w:p>
        </w:tc>
        <w:tc>
          <w:tcPr>
            <w:tcW w:w="1138" w:type="dxa"/>
            <w:shd w:val="clear" w:color="auto" w:fill="ECDFF5"/>
          </w:tcPr>
          <w:p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Initial Commission (year 1)</w:t>
            </w:r>
          </w:p>
        </w:tc>
        <w:tc>
          <w:tcPr>
            <w:tcW w:w="1414" w:type="dxa"/>
            <w:shd w:val="clear" w:color="auto" w:fill="ECDFF5"/>
          </w:tcPr>
          <w:p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Trail Commission</w:t>
            </w:r>
          </w:p>
        </w:tc>
        <w:tc>
          <w:tcPr>
            <w:tcW w:w="1324" w:type="dxa"/>
            <w:shd w:val="clear" w:color="auto" w:fill="ECDFF5"/>
          </w:tcPr>
          <w:p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Renewal Commission</w:t>
            </w:r>
          </w:p>
        </w:tc>
        <w:tc>
          <w:tcPr>
            <w:tcW w:w="1338" w:type="dxa"/>
            <w:shd w:val="clear" w:color="auto" w:fill="ECDFF5"/>
          </w:tcPr>
          <w:p w:rsidR="00176C9F" w:rsidRPr="00576D12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Other Commission</w:t>
            </w:r>
          </w:p>
        </w:tc>
      </w:tr>
      <w:tr w:rsidR="00176C9F" w:rsidRPr="00C23627" w:rsidTr="00BE7191">
        <w:trPr>
          <w:trHeight w:val="46"/>
          <w:jc w:val="center"/>
        </w:trPr>
        <w:tc>
          <w:tcPr>
            <w:tcW w:w="2151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Unit Linked Pension Products</w:t>
            </w:r>
          </w:p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Pre-Retirement</w:t>
            </w:r>
          </w:p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(PP, PRSA, CP &amp; PRB)</w:t>
            </w:r>
          </w:p>
        </w:tc>
        <w:tc>
          <w:tcPr>
            <w:tcW w:w="1275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:rsidTr="00BE7191">
        <w:trPr>
          <w:trHeight w:val="111"/>
          <w:jc w:val="center"/>
        </w:trPr>
        <w:tc>
          <w:tcPr>
            <w:tcW w:w="2151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138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17.5%</w:t>
            </w:r>
          </w:p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41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 trail</w:t>
            </w:r>
          </w:p>
        </w:tc>
        <w:tc>
          <w:tcPr>
            <w:tcW w:w="1324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17.5% </w:t>
            </w:r>
          </w:p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(Bullets X 3)</w:t>
            </w:r>
          </w:p>
        </w:tc>
        <w:tc>
          <w:tcPr>
            <w:tcW w:w="13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Tr="00BE7191">
        <w:trPr>
          <w:trHeight w:val="46"/>
          <w:jc w:val="center"/>
        </w:trPr>
        <w:tc>
          <w:tcPr>
            <w:tcW w:w="2151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Tr="00BE7191">
        <w:trPr>
          <w:trHeight w:val="27"/>
          <w:jc w:val="center"/>
        </w:trPr>
        <w:tc>
          <w:tcPr>
            <w:tcW w:w="2151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1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41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2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RPr="00C23627" w:rsidTr="00BE7191">
        <w:trPr>
          <w:trHeight w:val="42"/>
          <w:jc w:val="center"/>
        </w:trPr>
        <w:tc>
          <w:tcPr>
            <w:tcW w:w="2151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Unit Linked</w:t>
            </w:r>
          </w:p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Pension products</w:t>
            </w:r>
          </w:p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Post Retirement (ARF / AMRF)</w:t>
            </w:r>
          </w:p>
        </w:tc>
        <w:tc>
          <w:tcPr>
            <w:tcW w:w="1275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br/>
              <w:t>Single Premium</w:t>
            </w: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:rsidTr="00BE7191">
        <w:trPr>
          <w:trHeight w:val="977"/>
          <w:jc w:val="center"/>
        </w:trPr>
        <w:tc>
          <w:tcPr>
            <w:tcW w:w="2151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5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1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41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2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RPr="00C23627" w:rsidTr="00BE7191">
        <w:trPr>
          <w:trHeight w:val="75"/>
          <w:jc w:val="center"/>
        </w:trPr>
        <w:tc>
          <w:tcPr>
            <w:tcW w:w="2151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Guaranteed Annuity</w:t>
            </w:r>
          </w:p>
        </w:tc>
        <w:tc>
          <w:tcPr>
            <w:tcW w:w="1275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:rsidTr="00BE7191">
        <w:trPr>
          <w:trHeight w:val="46"/>
          <w:jc w:val="center"/>
        </w:trPr>
        <w:tc>
          <w:tcPr>
            <w:tcW w:w="2151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5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138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414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:rsidTr="00BE7191">
        <w:trPr>
          <w:trHeight w:val="46"/>
          <w:jc w:val="center"/>
        </w:trPr>
        <w:tc>
          <w:tcPr>
            <w:tcW w:w="2151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Investment Bonds</w:t>
            </w:r>
          </w:p>
        </w:tc>
        <w:tc>
          <w:tcPr>
            <w:tcW w:w="1275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:rsidTr="00BE7191">
        <w:trPr>
          <w:trHeight w:val="246"/>
          <w:jc w:val="center"/>
        </w:trPr>
        <w:tc>
          <w:tcPr>
            <w:tcW w:w="2151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5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1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41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2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RPr="00C23627" w:rsidTr="00BE7191">
        <w:trPr>
          <w:trHeight w:val="27"/>
          <w:jc w:val="center"/>
        </w:trPr>
        <w:tc>
          <w:tcPr>
            <w:tcW w:w="2151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Investment Only</w:t>
            </w:r>
          </w:p>
        </w:tc>
        <w:tc>
          <w:tcPr>
            <w:tcW w:w="1275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RPr="00C23627" w:rsidTr="00BE7191">
        <w:trPr>
          <w:trHeight w:val="184"/>
          <w:jc w:val="center"/>
        </w:trPr>
        <w:tc>
          <w:tcPr>
            <w:tcW w:w="2151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5" w:type="dxa"/>
            <w:vMerge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138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414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24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38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176C9F" w:rsidTr="00BE7191">
        <w:trPr>
          <w:trHeight w:val="46"/>
          <w:jc w:val="center"/>
        </w:trPr>
        <w:tc>
          <w:tcPr>
            <w:tcW w:w="2151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Savings Products</w:t>
            </w:r>
          </w:p>
        </w:tc>
        <w:tc>
          <w:tcPr>
            <w:tcW w:w="1275" w:type="dxa"/>
            <w:vMerge w:val="restart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ECDFF5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176C9F" w:rsidTr="00BE7191">
        <w:trPr>
          <w:trHeight w:val="91"/>
          <w:jc w:val="center"/>
        </w:trPr>
        <w:tc>
          <w:tcPr>
            <w:tcW w:w="2151" w:type="dxa"/>
            <w:vMerge/>
            <w:shd w:val="clear" w:color="auto" w:fill="8064A2"/>
          </w:tcPr>
          <w:p w:rsidR="00176C9F" w:rsidRPr="00722E4C" w:rsidRDefault="00176C9F" w:rsidP="00176C9F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5" w:type="dxa"/>
            <w:vMerge/>
            <w:shd w:val="clear" w:color="auto" w:fill="8064A2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64A2"/>
            <w:vAlign w:val="center"/>
          </w:tcPr>
          <w:p w:rsidR="00176C9F" w:rsidRPr="00722E4C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138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5.5%</w:t>
            </w:r>
          </w:p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414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0.25% trail to year 8, 0.5% trail from year 9</w:t>
            </w:r>
          </w:p>
        </w:tc>
        <w:tc>
          <w:tcPr>
            <w:tcW w:w="1324" w:type="dxa"/>
            <w:shd w:val="clear" w:color="auto" w:fill="ECDFF5"/>
            <w:vAlign w:val="center"/>
          </w:tcPr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5.5% </w:t>
            </w:r>
          </w:p>
          <w:p w:rsidR="00176C9F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Bullets X 3</w:t>
            </w:r>
          </w:p>
        </w:tc>
        <w:tc>
          <w:tcPr>
            <w:tcW w:w="1338" w:type="dxa"/>
            <w:shd w:val="clear" w:color="auto" w:fill="ECDFF5"/>
            <w:vAlign w:val="center"/>
          </w:tcPr>
          <w:p w:rsidR="00176C9F" w:rsidRPr="00C23627" w:rsidRDefault="00176C9F" w:rsidP="00176C9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</w:tbl>
    <w:p w:rsidR="00176C9F" w:rsidRPr="003E0421" w:rsidRDefault="00176C9F">
      <w:pPr>
        <w:rPr>
          <w:sz w:val="8"/>
          <w:szCs w:val="8"/>
        </w:rPr>
      </w:pPr>
    </w:p>
    <w:tbl>
      <w:tblPr>
        <w:tblW w:w="9640" w:type="dxa"/>
        <w:tblInd w:w="-2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11"/>
        <w:gridCol w:w="1148"/>
        <w:gridCol w:w="1241"/>
        <w:gridCol w:w="2364"/>
        <w:gridCol w:w="2876"/>
      </w:tblGrid>
      <w:tr w:rsidR="00C65FDD" w:rsidRPr="007163D4" w:rsidTr="003E0421">
        <w:trPr>
          <w:trHeight w:val="257"/>
        </w:trPr>
        <w:tc>
          <w:tcPr>
            <w:tcW w:w="3159" w:type="dxa"/>
            <w:gridSpan w:val="2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Yr1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9C1DEF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9C1DEF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Additional 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9C1DEF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9C1DEF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Renewal</w:t>
            </w:r>
          </w:p>
        </w:tc>
      </w:tr>
      <w:tr w:rsidR="00C65FDD" w:rsidRPr="007163D4" w:rsidTr="003E0421">
        <w:trPr>
          <w:trHeight w:val="245"/>
        </w:trPr>
        <w:tc>
          <w:tcPr>
            <w:tcW w:w="2011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Life Assurance</w:t>
            </w:r>
          </w:p>
        </w:tc>
        <w:tc>
          <w:tcPr>
            <w:tcW w:w="1148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  <w:t>Option 1</w:t>
            </w:r>
          </w:p>
        </w:tc>
        <w:tc>
          <w:tcPr>
            <w:tcW w:w="1241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100%</w:t>
            </w:r>
          </w:p>
        </w:tc>
        <w:tc>
          <w:tcPr>
            <w:tcW w:w="2364" w:type="dxa"/>
            <w:vMerge w:val="restart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2 - 5 80%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6 - 3% level</w:t>
            </w:r>
          </w:p>
        </w:tc>
      </w:tr>
      <w:tr w:rsidR="00C65FDD" w:rsidRPr="007163D4" w:rsidTr="003E0421">
        <w:trPr>
          <w:trHeight w:val="257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148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</w:p>
        </w:tc>
        <w:tc>
          <w:tcPr>
            <w:tcW w:w="124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6 - 6% indexed</w:t>
            </w:r>
          </w:p>
        </w:tc>
      </w:tr>
      <w:tr w:rsidR="00C65FDD" w:rsidRPr="007163D4" w:rsidTr="003E0421">
        <w:trPr>
          <w:trHeight w:val="245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148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  <w:t>Option 2</w:t>
            </w: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25% level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2 - 9 25%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10 - 10% level</w:t>
            </w:r>
          </w:p>
        </w:tc>
      </w:tr>
      <w:tr w:rsidR="00C65FDD" w:rsidRPr="007163D4" w:rsidTr="003E0421">
        <w:trPr>
          <w:trHeight w:val="257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148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28% indexed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2 - 9 28%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10 - 13% indexed</w:t>
            </w:r>
          </w:p>
        </w:tc>
      </w:tr>
      <w:tr w:rsidR="00C65FDD" w:rsidRPr="007163D4" w:rsidTr="003E0421">
        <w:trPr>
          <w:trHeight w:val="245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148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  <w:t>Option 3</w:t>
            </w: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20% level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2 - 20% level</w:t>
            </w:r>
          </w:p>
        </w:tc>
      </w:tr>
      <w:tr w:rsidR="00C65FDD" w:rsidRPr="007163D4" w:rsidTr="003E0421">
        <w:trPr>
          <w:trHeight w:val="257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148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23% indexed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2 - 23% indexed</w:t>
            </w:r>
          </w:p>
        </w:tc>
      </w:tr>
      <w:tr w:rsidR="00C65FDD" w:rsidRPr="007163D4" w:rsidTr="003E0421">
        <w:trPr>
          <w:trHeight w:val="245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148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  <w:t>Option 4</w:t>
            </w: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80% Level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2 - 12%</w:t>
            </w:r>
          </w:p>
        </w:tc>
      </w:tr>
      <w:tr w:rsidR="00C65FDD" w:rsidRPr="007163D4" w:rsidTr="003E0421">
        <w:trPr>
          <w:trHeight w:val="257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148" w:type="dxa"/>
            <w:vMerge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80% Indexed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2 - 15%</w:t>
            </w:r>
          </w:p>
        </w:tc>
      </w:tr>
      <w:tr w:rsidR="00C65FDD" w:rsidRPr="007163D4" w:rsidTr="003E0421">
        <w:trPr>
          <w:trHeight w:val="257"/>
        </w:trPr>
        <w:tc>
          <w:tcPr>
            <w:tcW w:w="201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Default Profile</w:t>
            </w:r>
          </w:p>
        </w:tc>
        <w:tc>
          <w:tcPr>
            <w:tcW w:w="1148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  <w:t> </w:t>
            </w: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 </w:t>
            </w:r>
          </w:p>
        </w:tc>
      </w:tr>
      <w:tr w:rsidR="00C65FDD" w:rsidRPr="007163D4" w:rsidTr="003E0421">
        <w:trPr>
          <w:trHeight w:val="257"/>
        </w:trPr>
        <w:tc>
          <w:tcPr>
            <w:tcW w:w="3159" w:type="dxa"/>
            <w:gridSpan w:val="2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</w:p>
        </w:tc>
        <w:tc>
          <w:tcPr>
            <w:tcW w:w="1241" w:type="dxa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Yr1</w:t>
            </w:r>
          </w:p>
        </w:tc>
        <w:tc>
          <w:tcPr>
            <w:tcW w:w="2364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Additional 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Renewal</w:t>
            </w:r>
          </w:p>
        </w:tc>
      </w:tr>
      <w:tr w:rsidR="00C65FDD" w:rsidRPr="007163D4" w:rsidTr="003E0421">
        <w:trPr>
          <w:trHeight w:val="245"/>
        </w:trPr>
        <w:tc>
          <w:tcPr>
            <w:tcW w:w="2011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1148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</w:pPr>
            <w:r w:rsidRPr="00722E4C">
              <w:rPr>
                <w:rFonts w:ascii="Calibri" w:eastAsia="Times New Roman" w:hAnsi="Calibri" w:cs="Calibri"/>
                <w:b/>
                <w:color w:val="FFFFFF" w:themeColor="background1"/>
                <w:lang w:eastAsia="en-IE"/>
              </w:rPr>
              <w:t>Max</w:t>
            </w:r>
          </w:p>
        </w:tc>
        <w:tc>
          <w:tcPr>
            <w:tcW w:w="1241" w:type="dxa"/>
            <w:vMerge w:val="restart"/>
            <w:shd w:val="clear" w:color="auto" w:fill="8064A2"/>
            <w:vAlign w:val="center"/>
            <w:hideMark/>
          </w:tcPr>
          <w:p w:rsidR="00C65FDD" w:rsidRPr="00722E4C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722E4C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120%</w:t>
            </w:r>
          </w:p>
        </w:tc>
        <w:tc>
          <w:tcPr>
            <w:tcW w:w="2364" w:type="dxa"/>
            <w:vMerge w:val="restart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From Year 2 - 5 - 60%</w:t>
            </w: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 xml:space="preserve">3% level </w:t>
            </w:r>
          </w:p>
        </w:tc>
      </w:tr>
      <w:tr w:rsidR="00C65FDD" w:rsidRPr="007163D4" w:rsidTr="003E0421">
        <w:trPr>
          <w:trHeight w:val="257"/>
        </w:trPr>
        <w:tc>
          <w:tcPr>
            <w:tcW w:w="2011" w:type="dxa"/>
            <w:vMerge/>
            <w:shd w:val="clear" w:color="auto" w:fill="8064A2"/>
            <w:vAlign w:val="center"/>
            <w:hideMark/>
          </w:tcPr>
          <w:p w:rsidR="00C65FDD" w:rsidRPr="007163D4" w:rsidRDefault="00C65FDD" w:rsidP="00E7102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148" w:type="dxa"/>
            <w:vMerge/>
            <w:shd w:val="clear" w:color="auto" w:fill="8064A2"/>
            <w:vAlign w:val="center"/>
            <w:hideMark/>
          </w:tcPr>
          <w:p w:rsidR="00C65FDD" w:rsidRPr="007163D4" w:rsidRDefault="00C65FDD" w:rsidP="00E7102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241" w:type="dxa"/>
            <w:vMerge/>
            <w:shd w:val="clear" w:color="auto" w:fill="8064A2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ECDFF5"/>
            <w:vAlign w:val="center"/>
            <w:hideMark/>
          </w:tcPr>
          <w:p w:rsidR="00C65FDD" w:rsidRPr="007163D4" w:rsidRDefault="00C65FDD" w:rsidP="00E7102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20"/>
                <w:szCs w:val="20"/>
              </w:rPr>
            </w:pPr>
            <w:r w:rsidRPr="007163D4">
              <w:rPr>
                <w:rFonts w:asciiTheme="minorHAnsi" w:hAnsiTheme="minorHAnsi" w:cs="Arial"/>
                <w:color w:val="45555F"/>
                <w:sz w:val="20"/>
                <w:szCs w:val="20"/>
              </w:rPr>
              <w:t>6% indexed</w:t>
            </w:r>
          </w:p>
        </w:tc>
      </w:tr>
    </w:tbl>
    <w:p w:rsidR="00176C9F" w:rsidRPr="003E0421" w:rsidRDefault="00176C9F" w:rsidP="00176C9F">
      <w:pPr>
        <w:spacing w:before="480" w:after="12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666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552"/>
        <w:gridCol w:w="2126"/>
      </w:tblGrid>
      <w:tr w:rsidR="00722E4C" w:rsidRPr="00EA2FB8" w:rsidTr="003E0421">
        <w:tc>
          <w:tcPr>
            <w:tcW w:w="45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3E0421" w:rsidRDefault="00722E4C" w:rsidP="00722E4C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 w:rsidRPr="003E0421">
              <w:rPr>
                <w:b/>
                <w:color w:val="FFFFFF" w:themeColor="background1"/>
              </w:rPr>
              <w:t>Product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EA2FB8" w:rsidRDefault="00722E4C" w:rsidP="00176C9F">
            <w:pPr>
              <w:spacing w:before="0" w:after="0" w:line="240" w:lineRule="auto"/>
              <w:jc w:val="center"/>
            </w:pPr>
          </w:p>
        </w:tc>
      </w:tr>
      <w:tr w:rsidR="00722E4C" w:rsidRPr="00EA2FB8" w:rsidTr="003E0421"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</w:p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</w:p>
          <w:p w:rsidR="00722E4C" w:rsidRPr="00722E4C" w:rsidRDefault="00722E4C" w:rsidP="00176C9F">
            <w:pPr>
              <w:spacing w:before="0" w:after="0" w:line="240" w:lineRule="auto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 xml:space="preserve">Group </w:t>
            </w:r>
          </w:p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Protection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722E4C" w:rsidRDefault="00722E4C" w:rsidP="00176C9F">
            <w:pPr>
              <w:spacing w:before="0" w:after="0" w:line="240" w:lineRule="auto"/>
              <w:jc w:val="center"/>
              <w:rPr>
                <w:b/>
              </w:rPr>
            </w:pPr>
            <w:r w:rsidRPr="00722E4C">
              <w:rPr>
                <w:b/>
              </w:rPr>
              <w:t>Renewal commission</w:t>
            </w:r>
          </w:p>
        </w:tc>
      </w:tr>
      <w:tr w:rsidR="00722E4C" w:rsidRPr="00EA2FB8" w:rsidTr="003E0421"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Life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EA2FB8" w:rsidRDefault="00722E4C" w:rsidP="00176C9F">
            <w:pPr>
              <w:spacing w:before="0" w:after="0" w:line="240" w:lineRule="auto"/>
            </w:pPr>
          </w:p>
        </w:tc>
      </w:tr>
      <w:tr w:rsidR="00722E4C" w:rsidRPr="00EA2FB8" w:rsidTr="003E0421"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  <w:r w:rsidRPr="00722E4C">
              <w:rPr>
                <w:color w:val="FFFFFF" w:themeColor="background1"/>
              </w:rPr>
              <w:t>Max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EA2FB8" w:rsidRDefault="00722E4C" w:rsidP="00176C9F">
            <w:pPr>
              <w:spacing w:before="0" w:after="0" w:line="240" w:lineRule="auto"/>
              <w:jc w:val="center"/>
            </w:pPr>
            <w:r w:rsidRPr="00EA2FB8">
              <w:t>6%</w:t>
            </w:r>
          </w:p>
        </w:tc>
      </w:tr>
      <w:tr w:rsidR="00722E4C" w:rsidRPr="00EA2FB8" w:rsidTr="003E0421"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Income protection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EA2FB8" w:rsidRDefault="00722E4C" w:rsidP="00176C9F">
            <w:pPr>
              <w:spacing w:before="0" w:after="0" w:line="240" w:lineRule="auto"/>
              <w:jc w:val="center"/>
            </w:pPr>
          </w:p>
        </w:tc>
      </w:tr>
      <w:tr w:rsidR="00722E4C" w:rsidRPr="00EA2FB8" w:rsidTr="003E0421"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  <w:r w:rsidRPr="00722E4C">
              <w:rPr>
                <w:color w:val="FFFFFF" w:themeColor="background1"/>
              </w:rPr>
              <w:t>Max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EA2FB8" w:rsidRDefault="00722E4C" w:rsidP="00176C9F">
            <w:pPr>
              <w:spacing w:before="0" w:after="0" w:line="240" w:lineRule="auto"/>
              <w:jc w:val="center"/>
            </w:pPr>
            <w:r w:rsidRPr="00EA2FB8">
              <w:t>12.5%</w:t>
            </w:r>
          </w:p>
        </w:tc>
      </w:tr>
      <w:tr w:rsidR="00722E4C" w:rsidRPr="00EA2FB8" w:rsidTr="003E0421"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b/>
                <w:color w:val="FFFFFF" w:themeColor="background1"/>
              </w:rPr>
            </w:pPr>
            <w:r w:rsidRPr="00722E4C">
              <w:rPr>
                <w:b/>
                <w:color w:val="FFFFFF" w:themeColor="background1"/>
              </w:rPr>
              <w:t>Serious Illness Cover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EA2FB8" w:rsidRDefault="00722E4C" w:rsidP="00176C9F">
            <w:pPr>
              <w:spacing w:before="0" w:after="0" w:line="240" w:lineRule="auto"/>
              <w:jc w:val="center"/>
            </w:pPr>
          </w:p>
        </w:tc>
      </w:tr>
      <w:tr w:rsidR="00722E4C" w:rsidRPr="00EA2FB8" w:rsidTr="003E0421">
        <w:tc>
          <w:tcPr>
            <w:tcW w:w="198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/>
          </w:tcPr>
          <w:p w:rsidR="00722E4C" w:rsidRPr="00722E4C" w:rsidRDefault="00722E4C" w:rsidP="00176C9F">
            <w:pPr>
              <w:spacing w:before="0" w:after="0" w:line="240" w:lineRule="auto"/>
              <w:rPr>
                <w:color w:val="FFFFFF" w:themeColor="background1"/>
              </w:rPr>
            </w:pPr>
            <w:r w:rsidRPr="00722E4C">
              <w:rPr>
                <w:color w:val="FFFFFF" w:themeColor="background1"/>
              </w:rPr>
              <w:t>Max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DFF5"/>
          </w:tcPr>
          <w:p w:rsidR="00722E4C" w:rsidRPr="00EA2FB8" w:rsidRDefault="00722E4C" w:rsidP="00176C9F">
            <w:pPr>
              <w:spacing w:before="0" w:after="0" w:line="240" w:lineRule="auto"/>
              <w:jc w:val="center"/>
            </w:pPr>
            <w:r w:rsidRPr="00EA2FB8">
              <w:t>12.5%</w:t>
            </w:r>
          </w:p>
        </w:tc>
      </w:tr>
    </w:tbl>
    <w:p w:rsidR="00176C9F" w:rsidRDefault="00176C9F" w:rsidP="00176C9F">
      <w:pPr>
        <w:spacing w:before="0" w:after="0" w:line="240" w:lineRule="auto"/>
      </w:pPr>
      <w:bookmarkStart w:id="0" w:name="_GoBack"/>
      <w:bookmarkEnd w:id="0"/>
    </w:p>
    <w:sectPr w:rsidR="00176C9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3" w:rsidRDefault="00C56A73" w:rsidP="00722E4C">
      <w:pPr>
        <w:spacing w:before="0" w:after="0" w:line="240" w:lineRule="auto"/>
      </w:pPr>
      <w:r>
        <w:separator/>
      </w:r>
    </w:p>
  </w:endnote>
  <w:endnote w:type="continuationSeparator" w:id="0">
    <w:p w:rsidR="00C56A73" w:rsidRDefault="00C56A73" w:rsidP="00722E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4C" w:rsidRDefault="00722E4C">
    <w:pPr>
      <w:pStyle w:val="Footer"/>
    </w:pPr>
    <w:r w:rsidRPr="005147A7">
      <w:rPr>
        <w:b/>
        <w:noProof/>
        <w:u w:val="single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B7F54" wp14:editId="2740886B">
              <wp:simplePos x="0" y="0"/>
              <wp:positionH relativeFrom="margin">
                <wp:posOffset>-276225</wp:posOffset>
              </wp:positionH>
              <wp:positionV relativeFrom="paragraph">
                <wp:posOffset>-143510</wp:posOffset>
              </wp:positionV>
              <wp:extent cx="6647180" cy="361950"/>
              <wp:effectExtent l="0" t="0" r="1270" b="0"/>
              <wp:wrapNone/>
              <wp:docPr id="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7180" cy="361950"/>
                      </a:xfrm>
                      <a:custGeom>
                        <a:avLst/>
                        <a:gdLst>
                          <a:gd name="connsiteX0" fmla="*/ 7187878 w 7187878"/>
                          <a:gd name="connsiteY0" fmla="*/ 0 h 706055"/>
                          <a:gd name="connsiteX1" fmla="*/ 0 w 7187878"/>
                          <a:gd name="connsiteY1" fmla="*/ 0 h 706055"/>
                          <a:gd name="connsiteX2" fmla="*/ 0 w 7187878"/>
                          <a:gd name="connsiteY2" fmla="*/ 706055 h 706055"/>
                          <a:gd name="connsiteX3" fmla="*/ 6967959 w 7187878"/>
                          <a:gd name="connsiteY3" fmla="*/ 694481 h 706055"/>
                          <a:gd name="connsiteX4" fmla="*/ 7187878 w 7187878"/>
                          <a:gd name="connsiteY4" fmla="*/ 0 h 7060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187878" h="706055">
                            <a:moveTo>
                              <a:pt x="7187878" y="0"/>
                            </a:moveTo>
                            <a:lnTo>
                              <a:pt x="0" y="0"/>
                            </a:lnTo>
                            <a:lnTo>
                              <a:pt x="0" y="706055"/>
                            </a:lnTo>
                            <a:lnTo>
                              <a:pt x="6967959" y="694481"/>
                            </a:lnTo>
                            <a:lnTo>
                              <a:pt x="7187878" y="0"/>
                            </a:lnTo>
                            <a:close/>
                          </a:path>
                        </a:pathLst>
                      </a:custGeom>
                      <a:solidFill>
                        <a:srgbClr val="5261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2E4C" w:rsidRDefault="00722E4C" w:rsidP="00722E4C">
                          <w:r>
                            <w:t xml:space="preserve">Irish Life Assurance plc is regulated by the Central Bank of Ireland.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1</w:t>
                          </w:r>
                          <w:r w:rsidRPr="005147A7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April 2020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B7F54" id="Freeform 3" o:spid="_x0000_s1026" style="position:absolute;margin-left:-21.75pt;margin-top:-11.3pt;width:523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87878,70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S2NAMAAPoIAAAOAAAAZHJzL2Uyb0RvYy54bWysVt9r2zAQfh/sfxB6HKy208RpQpNSOrqX&#10;sZW1g+5RkeXYIEuepMTJf7/TL8fpWrKMtWBL1n3f3X13knJ9s2s42jKlaykWOLtIMWKCyqIW6wX+&#10;8XT/8QojbYgoCJeCLfCeaXyzfP/uumvnbCQryQumEJAIPe/aBa6MaedJomnFGqIvZMsELJZSNcTA&#10;VK2TQpEO2BuejNI0TzqpilZJyrSGr5/8Il46/rJk1HwrS80M4gsMsRn3VO65ss9keU3ma0XaqqYh&#10;DPIPUTSkFuC0p/pEDEEbVf9B1dRUSS1Lc0Flk8iyrClzOUA2Wfoim8eKtMzlAuLotpdJ/z9a+nX7&#10;oFBdLPAYI0EaKNG9YswKji6tOl2r52D02D6oMNMwtKnuStXYNySBdk7Rfa8o2xlE4WOej6fZFQhP&#10;Ye0yz2YTJ3lyQNONNp+ZdExk+0UbX5ECRk7PIkRFpRC6NuwZyMqGQ5E+JAi4p/CPujgK9XwJ+jkE&#10;pahC0zRPJ5M3rJ+zgYv0NPmx+Sny0XnkQ3Mf9cnwLwce8lk+nU1mp5M4Bo3HV9lJP9Ax51diCDqu&#10;BDTFOpadVLET6E6EVoARIvZYSd1Oa6W2bTfsC+ixOIWKQyMBJaBsH50AQwmH4OwsMJRoCB6dBQbd&#10;h2C35/46bBBzCB4PPXuSoJ2Cg9AegdwdgQYjOAIVRnAEriyGzFtirORxiLoFDpsLowrGfr/Y5UZu&#10;2ZN0hsYWoDeDSKLoBxsuhrawDQdWcS2+W8fnbQ4bFPKIBvHtDUNrO8p8Zjs2pB/N4tubvxZntKBc&#10;aub7xQrhGqdXxAo5OKS05HVxX3NuJdBqvbrjCm0JiDsZ5dntXQjiyIy7HhTSwrwb+yWxZ6s/Td3I&#10;7DmzpFx8ZyWcySDuyLW6uw1Z74dQyoTJ/FJFChbcp/AXvdv70yJcKo7QMpfgv+cOBNHSk0RuH2Ww&#10;t1DmLtMe7PfgG4F5cI9wnqUwPbiphVSvZcYhq+DZ20eRvDRWJbNb7cDEDley2MPl1cHtvcD614Yo&#10;Bo1t+J30lz0RtJLQ6NR4Z0Lebowsa3vFOO09QZjABevECj8G7A0+nDurw0+W5W8AAAD//wMAUEsD&#10;BBQABgAIAAAAIQCF1Kbo4wAAAAsBAAAPAAAAZHJzL2Rvd25yZXYueG1sTI9NS8QwEIbvgv8hjOBF&#10;dhObuiy16eIHCh4W3A8Eb2kztsVmUpt0t/rrzZ70NsM8vPO8+WqyHTvg4FtHCq7nAhhS5UxLtYL9&#10;7mm2BOaDJqM7R6jgGz2sivOzXGfGHWmDh22oWQwhn2kFTQh9xrmvGrTaz12PFG8fbrA6xHWouRn0&#10;MYbbjidCLLjVLcUPje7xocHqcztaBa59Nevp/k268me5v3oe+6/Hl3elLi+mu1tgAafwB8NJP6pD&#10;EZ1KN5LxrFMwS+VNROOQJAtgJ0IIKYGVCmSaAi9y/r9D8QsAAP//AwBQSwECLQAUAAYACAAAACEA&#10;toM4kv4AAADhAQAAEwAAAAAAAAAAAAAAAAAAAAAAW0NvbnRlbnRfVHlwZXNdLnhtbFBLAQItABQA&#10;BgAIAAAAIQA4/SH/1gAAAJQBAAALAAAAAAAAAAAAAAAAAC8BAABfcmVscy8ucmVsc1BLAQItABQA&#10;BgAIAAAAIQDO5XS2NAMAAPoIAAAOAAAAAAAAAAAAAAAAAC4CAABkcnMvZTJvRG9jLnhtbFBLAQIt&#10;ABQABgAIAAAAIQCF1Kbo4wAAAAsBAAAPAAAAAAAAAAAAAAAAAI4FAABkcnMvZG93bnJldi54bWxQ&#10;SwUGAAAAAAQABADzAAAAngYAAAAA&#10;" adj="-11796480,,5400" path="m7187878,l,,,706055,6967959,694481,7187878,xe" fillcolor="#5261ac" stroked="f" strokeweight="1pt">
              <v:stroke joinstyle="miter"/>
              <v:formulas/>
              <v:path arrowok="t" o:connecttype="custom" o:connectlocs="6647180,0;0,0;0,361950;6443804,356017;6647180,0" o:connectangles="0,0,0,0,0" textboxrect="0,0,7187878,706055"/>
              <v:textbox>
                <w:txbxContent>
                  <w:p w:rsidR="00722E4C" w:rsidRDefault="00722E4C" w:rsidP="00722E4C">
                    <w:r>
                      <w:t xml:space="preserve">Irish Life Assurance plc is regulated by the Central Bank of Ireland.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1</w:t>
                    </w:r>
                    <w:r w:rsidRPr="005147A7">
                      <w:rPr>
                        <w:vertAlign w:val="superscript"/>
                      </w:rPr>
                      <w:t>st</w:t>
                    </w:r>
                    <w:r>
                      <w:t xml:space="preserve"> April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3" w:rsidRDefault="00C56A73" w:rsidP="00722E4C">
      <w:pPr>
        <w:spacing w:before="0" w:after="0" w:line="240" w:lineRule="auto"/>
      </w:pPr>
      <w:r>
        <w:separator/>
      </w:r>
    </w:p>
  </w:footnote>
  <w:footnote w:type="continuationSeparator" w:id="0">
    <w:p w:rsidR="00C56A73" w:rsidRDefault="00C56A73" w:rsidP="00722E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4C" w:rsidRDefault="00722E4C" w:rsidP="00722E4C">
    <w:pPr>
      <w:pStyle w:val="Header"/>
      <w:jc w:val="right"/>
    </w:pPr>
    <w:r>
      <w:rPr>
        <w:rFonts w:ascii="Arial" w:hAnsi="Arial" w:cs="Arial"/>
        <w:b/>
        <w:bCs/>
        <w:noProof/>
        <w:color w:val="45555F"/>
        <w:lang w:eastAsia="en-IE"/>
      </w:rPr>
      <w:drawing>
        <wp:inline distT="0" distB="0" distL="0" distR="0" wp14:anchorId="3DC8D469" wp14:editId="5C89878D">
          <wp:extent cx="1265125" cy="51374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if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25" cy="52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F"/>
    <w:rsid w:val="00074315"/>
    <w:rsid w:val="00111278"/>
    <w:rsid w:val="00163202"/>
    <w:rsid w:val="00176C9F"/>
    <w:rsid w:val="002846B7"/>
    <w:rsid w:val="003E0421"/>
    <w:rsid w:val="00587658"/>
    <w:rsid w:val="006D3D56"/>
    <w:rsid w:val="00722E4C"/>
    <w:rsid w:val="009C1DEF"/>
    <w:rsid w:val="00A42836"/>
    <w:rsid w:val="00BE7191"/>
    <w:rsid w:val="00C56A73"/>
    <w:rsid w:val="00C65FDD"/>
    <w:rsid w:val="00D92CEC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8F1EF-21D3-4CD3-B0EE-E05D9D57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9F"/>
    <w:pPr>
      <w:spacing w:before="200"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17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E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E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BERNADETTE</dc:creator>
  <cp:keywords/>
  <dc:description/>
  <cp:lastModifiedBy>jimmy</cp:lastModifiedBy>
  <cp:revision>2</cp:revision>
  <dcterms:created xsi:type="dcterms:W3CDTF">2020-03-24T18:04:00Z</dcterms:created>
  <dcterms:modified xsi:type="dcterms:W3CDTF">2020-03-24T18:04:00Z</dcterms:modified>
</cp:coreProperties>
</file>